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3414" w14:textId="77777777" w:rsidR="008F2DD0" w:rsidRDefault="00835909" w:rsidP="00EF5C4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i/>
          <w:spacing w:val="-4"/>
        </w:rPr>
        <w:t xml:space="preserve">Building Industry Fairness (Security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Payment) Act </w:t>
      </w:r>
      <w:r>
        <w:rPr>
          <w:i/>
          <w:spacing w:val="-3"/>
        </w:rPr>
        <w:t xml:space="preserve">2017 </w:t>
      </w:r>
      <w:r>
        <w:rPr>
          <w:spacing w:val="-3"/>
        </w:rPr>
        <w:t xml:space="preserve">(BIF </w:t>
      </w:r>
      <w:r>
        <w:rPr>
          <w:spacing w:val="-4"/>
        </w:rPr>
        <w:t xml:space="preserve">Act) </w:t>
      </w:r>
      <w:r>
        <w:rPr>
          <w:spacing w:val="-3"/>
        </w:rPr>
        <w:t xml:space="preserve">was </w:t>
      </w:r>
      <w:r>
        <w:rPr>
          <w:spacing w:val="-4"/>
        </w:rPr>
        <w:t xml:space="preserve">enacted </w:t>
      </w:r>
      <w:r>
        <w:rPr>
          <w:spacing w:val="-3"/>
        </w:rPr>
        <w:t xml:space="preserve">on </w:t>
      </w:r>
      <w:r w:rsidR="00513CFE">
        <w:rPr>
          <w:spacing w:val="-3"/>
        </w:rPr>
        <w:br/>
      </w:r>
      <w:r>
        <w:t xml:space="preserve">10 </w:t>
      </w:r>
      <w:r>
        <w:rPr>
          <w:spacing w:val="-4"/>
        </w:rPr>
        <w:t xml:space="preserve">November </w:t>
      </w:r>
      <w:r>
        <w:rPr>
          <w:spacing w:val="-3"/>
        </w:rPr>
        <w:t xml:space="preserve">2017. </w:t>
      </w:r>
      <w:r>
        <w:t xml:space="preserve">The </w:t>
      </w:r>
      <w:r>
        <w:rPr>
          <w:spacing w:val="-3"/>
        </w:rPr>
        <w:t xml:space="preserve">BIF Act </w:t>
      </w:r>
      <w:r>
        <w:rPr>
          <w:spacing w:val="-4"/>
        </w:rPr>
        <w:t xml:space="preserve">includes </w:t>
      </w:r>
      <w:r>
        <w:t xml:space="preserve">a </w:t>
      </w:r>
      <w:r>
        <w:rPr>
          <w:spacing w:val="-4"/>
        </w:rPr>
        <w:t xml:space="preserve">legislative </w:t>
      </w:r>
      <w:r>
        <w:rPr>
          <w:spacing w:val="-3"/>
        </w:rPr>
        <w:t xml:space="preserve">head of power for </w:t>
      </w:r>
      <w:r>
        <w:t xml:space="preserve">the </w:t>
      </w:r>
      <w:r>
        <w:rPr>
          <w:spacing w:val="-4"/>
        </w:rPr>
        <w:t xml:space="preserve">MFR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prescribed </w:t>
      </w:r>
      <w:r>
        <w:t>in</w:t>
      </w:r>
      <w:r>
        <w:rPr>
          <w:spacing w:val="10"/>
        </w:rPr>
        <w:t xml:space="preserve"> </w:t>
      </w:r>
      <w:r>
        <w:rPr>
          <w:spacing w:val="-5"/>
        </w:rPr>
        <w:t>regulation.</w:t>
      </w:r>
    </w:p>
    <w:p w14:paraId="1985A129" w14:textId="77777777" w:rsidR="008F2DD0" w:rsidRDefault="00835909" w:rsidP="00EF5C4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A </w:t>
      </w:r>
      <w:r>
        <w:rPr>
          <w:spacing w:val="-4"/>
        </w:rPr>
        <w:t xml:space="preserve">public discussion </w:t>
      </w:r>
      <w:r>
        <w:rPr>
          <w:spacing w:val="-3"/>
        </w:rPr>
        <w:t xml:space="preserve">paper titled ‘The </w:t>
      </w:r>
      <w:r>
        <w:rPr>
          <w:spacing w:val="-4"/>
        </w:rPr>
        <w:t xml:space="preserve">proposed improvements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Minimum Financial Requirements </w:t>
      </w:r>
      <w:r>
        <w:rPr>
          <w:spacing w:val="-3"/>
        </w:rPr>
        <w:t xml:space="preserve">for </w:t>
      </w:r>
      <w:r>
        <w:rPr>
          <w:spacing w:val="-4"/>
        </w:rPr>
        <w:t xml:space="preserve">licensing </w:t>
      </w:r>
      <w:r>
        <w:t xml:space="preserve">in the </w:t>
      </w:r>
      <w:r>
        <w:rPr>
          <w:spacing w:val="-4"/>
        </w:rPr>
        <w:t xml:space="preserve">building </w:t>
      </w:r>
      <w:r>
        <w:rPr>
          <w:spacing w:val="-3"/>
        </w:rPr>
        <w:t xml:space="preserve">and </w:t>
      </w:r>
      <w:r>
        <w:rPr>
          <w:spacing w:val="-4"/>
        </w:rPr>
        <w:t xml:space="preserve">construction industry’ </w:t>
      </w:r>
      <w:r>
        <w:rPr>
          <w:spacing w:val="-3"/>
        </w:rPr>
        <w:t xml:space="preserve">was </w:t>
      </w:r>
      <w:r>
        <w:rPr>
          <w:spacing w:val="-4"/>
        </w:rPr>
        <w:t xml:space="preserve">released </w:t>
      </w:r>
      <w:r>
        <w:rPr>
          <w:spacing w:val="-3"/>
        </w:rPr>
        <w:t xml:space="preserve">for </w:t>
      </w:r>
      <w:r>
        <w:rPr>
          <w:spacing w:val="-4"/>
        </w:rPr>
        <w:t xml:space="preserve">consultation </w:t>
      </w:r>
      <w:r>
        <w:rPr>
          <w:spacing w:val="-3"/>
        </w:rPr>
        <w:t xml:space="preserve">from </w:t>
      </w:r>
      <w:r>
        <w:t xml:space="preserve">12 </w:t>
      </w:r>
      <w:r>
        <w:rPr>
          <w:spacing w:val="-4"/>
        </w:rPr>
        <w:t xml:space="preserve">September </w:t>
      </w:r>
      <w:r>
        <w:t xml:space="preserve">to 9 </w:t>
      </w:r>
      <w:r>
        <w:rPr>
          <w:spacing w:val="-4"/>
        </w:rPr>
        <w:t>October</w:t>
      </w:r>
      <w:r>
        <w:rPr>
          <w:spacing w:val="-11"/>
        </w:rPr>
        <w:t xml:space="preserve"> </w:t>
      </w:r>
      <w:r>
        <w:rPr>
          <w:spacing w:val="-4"/>
        </w:rPr>
        <w:t>2018.</w:t>
      </w:r>
    </w:p>
    <w:p w14:paraId="368456B8" w14:textId="77777777" w:rsidR="008F2DD0" w:rsidRDefault="00835909" w:rsidP="00EF5C4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spacing w:val="-4"/>
        </w:rPr>
        <w:t xml:space="preserve">proposed MFR reforms </w:t>
      </w:r>
      <w:r>
        <w:rPr>
          <w:spacing w:val="-3"/>
        </w:rPr>
        <w:t xml:space="preserve">focus on </w:t>
      </w:r>
      <w:r>
        <w:rPr>
          <w:spacing w:val="-4"/>
        </w:rPr>
        <w:t xml:space="preserve">strengthening reporting requirements, providing clarity </w:t>
      </w:r>
      <w:r>
        <w:rPr>
          <w:spacing w:val="-3"/>
        </w:rPr>
        <w:t xml:space="preserve">about what can be </w:t>
      </w:r>
      <w:r>
        <w:rPr>
          <w:spacing w:val="-4"/>
        </w:rPr>
        <w:t xml:space="preserve">included </w:t>
      </w:r>
      <w:r>
        <w:rPr>
          <w:spacing w:val="-3"/>
        </w:rPr>
        <w:t xml:space="preserve">when </w:t>
      </w:r>
      <w:r>
        <w:rPr>
          <w:spacing w:val="-4"/>
        </w:rPr>
        <w:t xml:space="preserve">calculating </w:t>
      </w:r>
      <w:r>
        <w:t xml:space="preserve">a </w:t>
      </w:r>
      <w:r>
        <w:rPr>
          <w:spacing w:val="-4"/>
        </w:rPr>
        <w:t xml:space="preserve">licensee’s assets </w:t>
      </w:r>
      <w:r>
        <w:rPr>
          <w:spacing w:val="-3"/>
        </w:rPr>
        <w:t xml:space="preserve">and </w:t>
      </w:r>
      <w:r>
        <w:rPr>
          <w:spacing w:val="-4"/>
        </w:rPr>
        <w:t xml:space="preserve">revenue, </w:t>
      </w:r>
      <w:r>
        <w:rPr>
          <w:spacing w:val="-3"/>
        </w:rPr>
        <w:t xml:space="preserve">and </w:t>
      </w:r>
      <w:r>
        <w:rPr>
          <w:spacing w:val="-4"/>
        </w:rPr>
        <w:t xml:space="preserve">improving </w:t>
      </w:r>
      <w:r>
        <w:rPr>
          <w:spacing w:val="-3"/>
        </w:rPr>
        <w:t xml:space="preserve">data quality </w:t>
      </w:r>
      <w:r>
        <w:t xml:space="preserve">and </w:t>
      </w:r>
      <w:r>
        <w:rPr>
          <w:spacing w:val="-4"/>
        </w:rPr>
        <w:t xml:space="preserve">availability </w:t>
      </w:r>
      <w:r>
        <w:rPr>
          <w:spacing w:val="-3"/>
        </w:rPr>
        <w:t xml:space="preserve">for the </w:t>
      </w:r>
      <w:r>
        <w:rPr>
          <w:spacing w:val="-4"/>
        </w:rPr>
        <w:t xml:space="preserve">Queensland Building </w:t>
      </w:r>
      <w:r>
        <w:rPr>
          <w:spacing w:val="-3"/>
        </w:rPr>
        <w:t xml:space="preserve">and </w:t>
      </w:r>
      <w:r>
        <w:rPr>
          <w:spacing w:val="-4"/>
        </w:rPr>
        <w:t>Construction</w:t>
      </w:r>
      <w:r>
        <w:rPr>
          <w:spacing w:val="15"/>
        </w:rPr>
        <w:t xml:space="preserve"> </w:t>
      </w:r>
      <w:r>
        <w:rPr>
          <w:spacing w:val="-4"/>
        </w:rPr>
        <w:t>Commission.</w:t>
      </w:r>
    </w:p>
    <w:p w14:paraId="0DFFACDC" w14:textId="77777777" w:rsidR="008F2DD0" w:rsidRDefault="00835909" w:rsidP="00EF5C4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 approved</w:t>
      </w:r>
      <w:r>
        <w:t xml:space="preserve"> the proposed </w:t>
      </w:r>
      <w:r w:rsidR="00513CFE">
        <w:t xml:space="preserve">Minimum Financial Requirements </w:t>
      </w:r>
      <w:r>
        <w:t>reforms.</w:t>
      </w:r>
    </w:p>
    <w:p w14:paraId="2497297F" w14:textId="77777777" w:rsidR="00513CFE" w:rsidRDefault="00513CFE" w:rsidP="00EF5C4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 approved</w:t>
      </w:r>
      <w:r>
        <w:t xml:space="preserve"> the public release of the framework.</w:t>
      </w:r>
    </w:p>
    <w:p w14:paraId="1B665EE7" w14:textId="77777777" w:rsidR="008F2DD0" w:rsidRDefault="00835909" w:rsidP="00EF5C4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 noted</w:t>
      </w:r>
      <w: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two-phase implementation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>reforms</w:t>
      </w:r>
      <w:r>
        <w:rPr>
          <w:spacing w:val="-3"/>
        </w:rPr>
        <w:t>.</w:t>
      </w:r>
    </w:p>
    <w:p w14:paraId="41537645" w14:textId="51DC51A2" w:rsidR="008F2DD0" w:rsidRDefault="00835909" w:rsidP="00EF5C46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u w:val="single"/>
        </w:rPr>
        <w:t>Attachments</w:t>
      </w:r>
    </w:p>
    <w:p w14:paraId="39ED114E" w14:textId="4B923426" w:rsidR="008F2DD0" w:rsidRPr="001E2429" w:rsidRDefault="00667D11" w:rsidP="00CB07B0">
      <w:pPr>
        <w:pStyle w:val="ListParagraph"/>
        <w:widowControl/>
        <w:numPr>
          <w:ilvl w:val="0"/>
          <w:numId w:val="4"/>
        </w:numPr>
        <w:autoSpaceDE/>
        <w:autoSpaceDN/>
        <w:spacing w:before="120"/>
        <w:ind w:left="757"/>
        <w:jc w:val="both"/>
        <w:rPr>
          <w:rFonts w:eastAsia="Times New Roman"/>
        </w:rPr>
      </w:pPr>
      <w:hyperlink r:id="rId10" w:history="1">
        <w:r w:rsidR="008D1F19" w:rsidRPr="00CB07B0">
          <w:rPr>
            <w:rStyle w:val="Hyperlink"/>
          </w:rPr>
          <w:t>Improvements to the Minimum Financial Requirements for licensing in the building and construction industry</w:t>
        </w:r>
      </w:hyperlink>
    </w:p>
    <w:sectPr w:rsidR="008F2DD0" w:rsidRPr="001E2429" w:rsidSect="00C029BA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0F29" w14:textId="77777777" w:rsidR="00CB07B0" w:rsidRDefault="00CB07B0" w:rsidP="00513CFE">
      <w:r>
        <w:separator/>
      </w:r>
    </w:p>
  </w:endnote>
  <w:endnote w:type="continuationSeparator" w:id="0">
    <w:p w14:paraId="3BFDAA95" w14:textId="77777777" w:rsidR="00CB07B0" w:rsidRDefault="00CB07B0" w:rsidP="0051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40C2" w14:textId="77777777" w:rsidR="00CB07B0" w:rsidRDefault="00CB07B0" w:rsidP="00513CFE">
      <w:r>
        <w:separator/>
      </w:r>
    </w:p>
  </w:footnote>
  <w:footnote w:type="continuationSeparator" w:id="0">
    <w:p w14:paraId="7FD64D9B" w14:textId="77777777" w:rsidR="00CB07B0" w:rsidRDefault="00CB07B0" w:rsidP="0051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C031" w14:textId="77777777" w:rsidR="00CB07B0" w:rsidRPr="00937A4A" w:rsidRDefault="00CB07B0" w:rsidP="00513CF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EECDD0A" w14:textId="77777777" w:rsidR="00CB07B0" w:rsidRPr="00937A4A" w:rsidRDefault="00CB07B0" w:rsidP="00513CF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FE875D1" w14:textId="77777777" w:rsidR="00CB07B0" w:rsidRPr="00937A4A" w:rsidRDefault="00CB07B0" w:rsidP="00513CF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2018</w:t>
    </w:r>
  </w:p>
  <w:p w14:paraId="03FC9AB6" w14:textId="77777777" w:rsidR="00CB07B0" w:rsidRDefault="00CB07B0" w:rsidP="00513CFE">
    <w:pPr>
      <w:pStyle w:val="Header"/>
      <w:spacing w:before="120"/>
      <w:rPr>
        <w:b/>
        <w:u w:val="single"/>
      </w:rPr>
    </w:pPr>
    <w:r>
      <w:rPr>
        <w:b/>
        <w:u w:val="single"/>
      </w:rPr>
      <w:t>Minimum Financial Requirements (MFR) for licensing in the building and construction industry</w:t>
    </w:r>
  </w:p>
  <w:p w14:paraId="0CC7EC0C" w14:textId="77777777" w:rsidR="00CB07B0" w:rsidRDefault="00CB07B0" w:rsidP="00513CFE">
    <w:pPr>
      <w:pStyle w:val="Header"/>
      <w:spacing w:before="120"/>
      <w:rPr>
        <w:b/>
        <w:u w:val="single"/>
      </w:rPr>
    </w:pPr>
    <w:r>
      <w:rPr>
        <w:b/>
        <w:u w:val="single"/>
      </w:rPr>
      <w:t>Minister for Housing and Public Works, Minister for Digital Technology and Minister for Sport</w:t>
    </w:r>
  </w:p>
  <w:p w14:paraId="6CB7371D" w14:textId="77777777" w:rsidR="00CB07B0" w:rsidRDefault="00CB07B0" w:rsidP="00513CF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2101"/>
    <w:multiLevelType w:val="hybridMultilevel"/>
    <w:tmpl w:val="571C2888"/>
    <w:lvl w:ilvl="0" w:tplc="644297DA">
      <w:start w:val="1"/>
      <w:numFmt w:val="decimal"/>
      <w:lvlText w:val="%1."/>
      <w:lvlJc w:val="left"/>
      <w:pPr>
        <w:ind w:left="704" w:hanging="360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DE54E820">
      <w:numFmt w:val="bullet"/>
      <w:lvlText w:val=""/>
      <w:lvlJc w:val="left"/>
      <w:pPr>
        <w:ind w:left="1156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AA480510">
      <w:numFmt w:val="bullet"/>
      <w:lvlText w:val="•"/>
      <w:lvlJc w:val="left"/>
      <w:pPr>
        <w:ind w:left="2114" w:hanging="454"/>
      </w:pPr>
      <w:rPr>
        <w:rFonts w:hint="default"/>
      </w:rPr>
    </w:lvl>
    <w:lvl w:ilvl="3" w:tplc="95E4DE5E">
      <w:numFmt w:val="bullet"/>
      <w:lvlText w:val="•"/>
      <w:lvlJc w:val="left"/>
      <w:pPr>
        <w:ind w:left="3068" w:hanging="454"/>
      </w:pPr>
      <w:rPr>
        <w:rFonts w:hint="default"/>
      </w:rPr>
    </w:lvl>
    <w:lvl w:ilvl="4" w:tplc="7D5476A2">
      <w:numFmt w:val="bullet"/>
      <w:lvlText w:val="•"/>
      <w:lvlJc w:val="left"/>
      <w:pPr>
        <w:ind w:left="4022" w:hanging="454"/>
      </w:pPr>
      <w:rPr>
        <w:rFonts w:hint="default"/>
      </w:rPr>
    </w:lvl>
    <w:lvl w:ilvl="5" w:tplc="7FEC073E">
      <w:numFmt w:val="bullet"/>
      <w:lvlText w:val="•"/>
      <w:lvlJc w:val="left"/>
      <w:pPr>
        <w:ind w:left="4976" w:hanging="454"/>
      </w:pPr>
      <w:rPr>
        <w:rFonts w:hint="default"/>
      </w:rPr>
    </w:lvl>
    <w:lvl w:ilvl="6" w:tplc="59D0E94E">
      <w:numFmt w:val="bullet"/>
      <w:lvlText w:val="•"/>
      <w:lvlJc w:val="left"/>
      <w:pPr>
        <w:ind w:left="5930" w:hanging="454"/>
      </w:pPr>
      <w:rPr>
        <w:rFonts w:hint="default"/>
      </w:rPr>
    </w:lvl>
    <w:lvl w:ilvl="7" w:tplc="DEDC3A68">
      <w:numFmt w:val="bullet"/>
      <w:lvlText w:val="•"/>
      <w:lvlJc w:val="left"/>
      <w:pPr>
        <w:ind w:left="6884" w:hanging="454"/>
      </w:pPr>
      <w:rPr>
        <w:rFonts w:hint="default"/>
      </w:rPr>
    </w:lvl>
    <w:lvl w:ilvl="8" w:tplc="F19EBD40">
      <w:numFmt w:val="bullet"/>
      <w:lvlText w:val="•"/>
      <w:lvlJc w:val="left"/>
      <w:pPr>
        <w:ind w:left="7838" w:hanging="454"/>
      </w:pPr>
      <w:rPr>
        <w:rFonts w:hint="default"/>
      </w:rPr>
    </w:lvl>
  </w:abstractNum>
  <w:abstractNum w:abstractNumId="1" w15:restartNumberingAfterBreak="0">
    <w:nsid w:val="33946DC1"/>
    <w:multiLevelType w:val="hybridMultilevel"/>
    <w:tmpl w:val="8A729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D0"/>
    <w:rsid w:val="00042992"/>
    <w:rsid w:val="001E2429"/>
    <w:rsid w:val="002E0D8E"/>
    <w:rsid w:val="003F6772"/>
    <w:rsid w:val="00513CFE"/>
    <w:rsid w:val="005E071E"/>
    <w:rsid w:val="00667D11"/>
    <w:rsid w:val="00835909"/>
    <w:rsid w:val="008D1F19"/>
    <w:rsid w:val="008F2DD0"/>
    <w:rsid w:val="00AE0572"/>
    <w:rsid w:val="00B9763E"/>
    <w:rsid w:val="00C029BA"/>
    <w:rsid w:val="00C72EB4"/>
    <w:rsid w:val="00CB07B0"/>
    <w:rsid w:val="00E53FB2"/>
    <w:rsid w:val="00E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A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47" w:right="586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344" w:right="41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3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C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3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CF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92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1F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F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Framewor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BCAB0-4E0E-4136-8AA3-BC25A94BB6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323A5D-3C20-45EB-8A5A-FC808F6B0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4F79C-1C84-4B89-843A-A29DB0900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864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CAB—Proactive Release Summary</vt:lpstr>
    </vt:vector>
  </TitlesOfParts>
  <Company/>
  <LinksUpToDate>false</LinksUpToDate>
  <CharactersWithSpaces>1006</CharactersWithSpaces>
  <SharedDoc>false</SharedDoc>
  <HyperlinkBase>https://www.cabinet.qld.gov.au/documents/2018/Nov/MFRlic/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CAB—Proactive Release Summary</dc:title>
  <dc:creator/>
  <cp:keywords>cabinet; proactive release</cp:keywords>
  <cp:lastModifiedBy/>
  <cp:revision>12</cp:revision>
  <cp:lastPrinted>2019-03-18T00:03:00Z</cp:lastPrinted>
  <dcterms:created xsi:type="dcterms:W3CDTF">2019-03-17T23:55:00Z</dcterms:created>
  <dcterms:modified xsi:type="dcterms:W3CDTF">2020-07-27T00:45:00Z</dcterms:modified>
  <cp:category>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2018-11-20T00:00:00Z</vt:filetime>
  </property>
  <property fmtid="{D5CDD505-2E9C-101B-9397-08002B2CF9AE}" pid="5" name="ContentTypeId">
    <vt:lpwstr>0x010100DDE14CFDD070B24F85F5DE43654FF01E</vt:lpwstr>
  </property>
</Properties>
</file>